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21dce84064bb5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21199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EUGENA KVATERNIKA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I - VI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680.727,02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796.043,20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670.725,93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852.310,73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56.267,53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8.640,97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32.021,54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370,6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8.640,97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32.021,54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370,6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88.289,07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Manjak prihoda poslovanja nastao je zbog toga što su sredstva za provedbu B1 i B2 aktivnosti vezanih uz Cjelodnevnu nastavu dobivena u prosincu 2024.godine. a aktivnosti su se provodile tijekom cijele nastavne godine 2024./2025.
Također su dospjeli računi za prehranu 5./2025. i 6./2025. za koja nisu dobivena sredstva do 30.06.2025.
Manjak prihoda za nabavu nefinancijske imovine nastao je zbog toga što su sredstva za provedbu B1  aktivnosti vezanih uz Cjelodnevnu nastavu dobivena u prosincu 2024.godine. 
Prenesenim viškom se podmirio nastali manjak vezan uz Cjelodnevnu nastavu, računi od prehrane podmirit će se nakon uplate prihoda.
Ostali prihodi trošili su se namjenski i nema većih odstupanja.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8.654,98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Dospjele obveze odnose se na račune vezane uz prehranu učenika za 5./2025. i 6./2025. za što nismo dobili sredstva do kraja lipnja 2025. Računi za prehranu za 5./2025. su plaćeni početkom srpnja. Račun vezan uz zalihe menstrualnih higijenskih potrepština  za 2025. godinu. plaćen je početkom srpnja jer nismo imali do rebalansa dovoljno planiranih sredstava za nabavu navedenog.</w:t>
      </w:r>
    </w:p>
    <w:p/>
  </w:body>
</w:document>
</file>

<file path=word/styles.xml><?xml version="1.0" encoding="utf-8"?>
<w:styles xmlns:w="http://schemas.openxmlformats.org/wordprocessingml/2006/main"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ae2a2fcc8ac4c7a" /></Relationships>
</file>