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21dce84064bb5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21199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OSNOVNA ŠKOLA EUGENA KVATERNIKA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680.727,02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796.043,20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116,9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670.725,93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852.310,73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127,1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56.267,53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8.640,97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32.021,54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370,6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8.640,97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32.021,54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370,6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88.289,07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Manjak prihoda poslovanja nastao je zbog toga što su sredstva za provedbu B1 i B2 aktivnosti vezanih uz Cjelodnevnu nastavu dobivena u prosincu 2024.godine. a aktivnosti su se provodile tijekom cijele nastavne godine 2024./2025.
Također su dospjeli računi za prehranu 5./2025. i 6./2025. za koja nisu dobivena sredstva do 30.06.2025.
Manjak prihoda za nabavu nefinancijske imovine nastao je zbog toga što su sredstva za provedbu B1  aktivnosti vezanih uz Cjelodnevnu nastavu dobivena u prosincu 2024.godine. 
Prenesenim viškom se podmirio nastali manjak vezan uz Cjelodnevnu nastavu, računi od prehrane podmirit će se nakon uplate prihoda.
Ostali prihodi trošili su se namjenski i nema većih odstupanja.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8.654,98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Dospjele obveze odnose se na račune vezane uz prehranu učenika za 5./2025. i 6./2025. za što nismo dobili sredstva do kraja lipnja 2025. Računi za prehranu za 5./2025. su plaćeni početkom srpnja. Račun vezan uz zalihe menstrualnih higijenskih potrepština  za 2025. godinu. plaćen je početkom srpnja jer nismo imali do rebalansa dovoljno planiranih sredstava za nabavu navedenog.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2a2fcc8ac4c7a" /></Relationships>
</file>